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64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晋江市市场监督管理局</w:t>
      </w:r>
    </w:p>
    <w:p>
      <w:pPr>
        <w:spacing w:line="640" w:lineRule="exact"/>
        <w:jc w:val="center"/>
        <w:rPr>
          <w:rFonts w:ascii="Times New Roman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行政处罚决定书</w:t>
      </w:r>
    </w:p>
    <w:p>
      <w:pPr>
        <w:wordWrap w:val="0"/>
        <w:snapToGrid w:val="0"/>
        <w:spacing w:beforeLines="100" w:afterLines="100" w:line="520" w:lineRule="exact"/>
        <w:jc w:val="center"/>
        <w:rPr>
          <w:rFonts w:ascii="仿宋_GB2312" w:hAnsi="Times New Roman" w:eastAsia="仿宋_GB2312" w:cs="Times New Roman"/>
          <w:color w:val="000000"/>
          <w:sz w:val="32"/>
          <w:szCs w:val="32"/>
        </w:rPr>
      </w:pPr>
      <w:r>
        <w:rPr>
          <w:rFonts w:ascii="Calibri" w:hAnsi="Calibri" w:eastAsia="宋体" w:cs="Calibri"/>
          <w:kern w:val="2"/>
          <w:sz w:val="21"/>
          <w:szCs w:val="21"/>
          <w:lang w:val="en-US" w:eastAsia="zh-CN" w:bidi="ar-SA"/>
        </w:rPr>
        <w:pict>
          <v:shape id="_x0000_s2050" o:spid="_x0000_s1025" type="#_x0000_t32" style="position:absolute;left:0;margin-left:2pt;margin-top:1638pt;height:0.1pt;width:453.7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hint="eastAsia" w:ascii="仿宋_GB2312" w:hAnsi="Times New Roman" w:eastAsia="仿宋_GB2312" w:cs="仿宋_GB2312"/>
          <w:color w:val="000000"/>
          <w:sz w:val="32"/>
          <w:szCs w:val="32"/>
        </w:rPr>
        <w:t>晋市监处罚〔2023〕17-18号</w:t>
      </w:r>
    </w:p>
    <w:p>
      <w:pPr>
        <w:spacing w:line="420" w:lineRule="exac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当事人：</w:t>
      </w:r>
      <w:r>
        <w:rPr>
          <w:rFonts w:hint="eastAsia" w:ascii="仿宋_GB2312" w:hAnsi="仿宋" w:eastAsia="仿宋_GB2312" w:cs="仿宋_GB2312"/>
          <w:sz w:val="32"/>
          <w:szCs w:val="32"/>
        </w:rPr>
        <w:t>泉州七宴食品有限公司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                                                     </w:t>
      </w:r>
    </w:p>
    <w:p>
      <w:pPr>
        <w:spacing w:line="420" w:lineRule="exac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住所：</w:t>
      </w:r>
      <w:r>
        <w:rPr>
          <w:rFonts w:hint="eastAsia" w:ascii="仿宋_GB2312" w:hAnsi="仿宋" w:eastAsia="仿宋_GB2312" w:cs="仿宋_GB2312"/>
          <w:sz w:val="32"/>
          <w:szCs w:val="32"/>
        </w:rPr>
        <w:t>福建省泉州市晋江市磁灶镇下灶村新村259号</w:t>
      </w:r>
    </w:p>
    <w:p>
      <w:pPr>
        <w:spacing w:line="420" w:lineRule="exact"/>
        <w:rPr>
          <w:rFonts w:ascii="仿宋_GB2312" w:hAnsi="仿宋" w:eastAsia="仿宋_GB2312" w:cs="仿宋_GB2312"/>
          <w:kern w:val="1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统一社会信用代码：91350582MA339D8A2X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                                       </w:t>
      </w:r>
    </w:p>
    <w:p>
      <w:pPr>
        <w:spacing w:line="420" w:lineRule="exact"/>
        <w:rPr>
          <w:rFonts w:ascii="仿宋_GB2312" w:hAnsi="仿宋" w:eastAsia="仿宋_GB2312" w:cs="仿宋_GB2312"/>
          <w:kern w:val="1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联系电话：</w:t>
      </w:r>
      <w:r>
        <w:rPr>
          <w:rFonts w:hint="eastAsia" w:ascii="仿宋_GB2312" w:hAnsi="仿宋" w:eastAsia="仿宋_GB2312" w:cs="仿宋_GB2312"/>
          <w:sz w:val="32"/>
          <w:szCs w:val="32"/>
        </w:rPr>
        <w:t>13599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******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</w:t>
      </w:r>
      <w:r>
        <w:rPr>
          <w:rFonts w:ascii="仿宋_GB2312" w:hAnsi="仿宋" w:eastAsia="仿宋_GB2312" w:cs="仿宋_GB2312"/>
          <w:sz w:val="32"/>
          <w:szCs w:val="32"/>
        </w:rPr>
        <w:t xml:space="preserve">  </w:t>
      </w: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</w:t>
      </w:r>
    </w:p>
    <w:p>
      <w:pPr>
        <w:spacing w:line="420" w:lineRule="exac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kern w:val="1"/>
          <w:sz w:val="32"/>
          <w:szCs w:val="32"/>
        </w:rPr>
        <w:t>联系地址：</w:t>
      </w:r>
      <w:r>
        <w:rPr>
          <w:rFonts w:hint="eastAsia" w:ascii="仿宋_GB2312" w:hAnsi="仿宋" w:eastAsia="仿宋_GB2312" w:cs="仿宋_GB2312"/>
          <w:sz w:val="32"/>
          <w:szCs w:val="32"/>
        </w:rPr>
        <w:t>福建省泉州市晋江市磁灶镇</w:t>
      </w:r>
      <w:r>
        <w:rPr>
          <w:rFonts w:hint="eastAsia" w:ascii="仿宋_GB2312" w:hAnsi="仿宋" w:eastAsia="仿宋_GB2312" w:cs="仿宋_GB2312"/>
          <w:sz w:val="32"/>
          <w:szCs w:val="32"/>
          <w:lang w:val="en-US" w:eastAsia="zh-CN"/>
        </w:rPr>
        <w:t>***************</w:t>
      </w:r>
      <w:bookmarkStart w:id="0" w:name="_GoBack"/>
      <w:bookmarkEnd w:id="0"/>
    </w:p>
    <w:p>
      <w:pPr>
        <w:spacing w:line="420" w:lineRule="exact"/>
        <w:ind w:left="-424" w:leftChars="-203" w:hanging="2"/>
        <w:rPr>
          <w:rFonts w:ascii="仿宋_GB2312" w:hAnsi="仿宋" w:eastAsia="仿宋_GB2312" w:cs="仿宋_GB2312"/>
          <w:sz w:val="32"/>
          <w:szCs w:val="32"/>
        </w:rPr>
      </w:pPr>
      <w:r>
        <w:rPr>
          <w:rFonts w:ascii="仿宋_GB2312" w:hAnsi="仿宋" w:eastAsia="仿宋_GB2312" w:cs="仿宋_GB2312"/>
          <w:kern w:val="1"/>
          <w:sz w:val="32"/>
          <w:szCs w:val="32"/>
        </w:rPr>
        <w:t xml:space="preserve">                           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2021年12月10日，本局根据《泉州市信访局人民群众信访登记表》（泉信电邮[2021]2830号）依法对泉州七宴食品有限公司（晋江市磁灶镇下灶村新村259号）的经营场所进行现场检查。现场情况如下：1、现场提供营业执照、食品生产许可证；2、现场检查该公司的生产车间、成品车间、包材仓库、原料车间，发现有成品七宴护金茶、七宴宿醉清清茶及上述两款产品的包膜、包装盒，具体数量详见清单；3、在该公司的原料室发现一品名为北沙参，产地：河北保定，数量：1KG/包，生产日期：2021.03.02，生产企业：亳州市永刚饮片厂有限公司，批号：210302；一品名为山麦冬，数量：0.5KG/包，批号：200902，生产日期：2020年9月6日，生产企业：安徽聚草中药饮片有限公司；一品名为葛花，数量：0.5KG/包，批号：210309，生产日期：2021.03.09，生产企业：亳州市永刚饮片厂有限公司，上述物品数量详见物品清单；4、在当事人总经理的陪同下，本局使用该公司的电脑，登陆该公司的淘宝店铺七宴上品，网址为：</w:t>
      </w:r>
      <w:r>
        <w:fldChar w:fldCharType="begin"/>
      </w:r>
      <w:r>
        <w:instrText xml:space="preserve">HYPERLINK "https://shop565093634.taobao.com/" </w:instrText>
      </w:r>
      <w:r>
        <w:fldChar w:fldCharType="separate"/>
      </w:r>
      <w:r>
        <w:rPr>
          <w:rFonts w:hint="eastAsia" w:hAnsi="仿宋" w:cs="仿宋_GB2312"/>
          <w:sz w:val="32"/>
          <w:szCs w:val="32"/>
        </w:rPr>
        <w:t>HTTPS://shop565093634.taobao.com</w:t>
      </w:r>
      <w:r>
        <w:fldChar w:fldCharType="end"/>
      </w:r>
      <w:r>
        <w:rPr>
          <w:rFonts w:hint="eastAsia" w:ascii="仿宋_GB2312" w:hAnsi="仿宋" w:eastAsia="仿宋_GB2312" w:cs="仿宋_GB2312"/>
          <w:sz w:val="32"/>
          <w:szCs w:val="32"/>
        </w:rPr>
        <w:t>,查询网店经营者信息，与该公司营业执照相符，网店内有宝贝名称为七宴护金茶，商品ID658559715320，名称为七宴上品宿醉清清茶，商品ID657793221153，本局导出上述两款产品的销售记录并打印；5、现场拍摄相片为证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本局于2021年12月16日根据《泉州市市场监督管理局网络交易监测违法线索登记表》（案源登记编号2021120603）依法对泉州七宴食品有限公司的经营场所进行现场检查。现场情况如下：1、现场提供营业执照、食品生产许可证；2、现场通过当事人总经理的办公电脑登录微信公众号“七宴上品”后台，在《二十四节气</w:t>
      </w:r>
      <w:r>
        <w:rPr>
          <w:rFonts w:ascii="仿宋_GB2312" w:hAnsi="仿宋" w:eastAsia="仿宋_GB2312" w:cs="仿宋_GB2312"/>
          <w:sz w:val="32"/>
          <w:szCs w:val="32"/>
        </w:rPr>
        <w:t>—</w:t>
      </w:r>
      <w:r>
        <w:rPr>
          <w:rFonts w:hint="eastAsia" w:ascii="仿宋_GB2312" w:hAnsi="仿宋" w:eastAsia="仿宋_GB2312" w:cs="仿宋_GB2312"/>
          <w:sz w:val="32"/>
          <w:szCs w:val="32"/>
        </w:rPr>
        <w:t>立冬》（网址：</w:t>
      </w:r>
      <w:r>
        <w:rPr>
          <w:rFonts w:hint="eastAsia" w:ascii="仿宋_GB2312" w:hAnsi="仿宋" w:eastAsia="仿宋_GB2312" w:cs="仿宋_GB2312"/>
          <w:sz w:val="28"/>
          <w:szCs w:val="28"/>
        </w:rPr>
        <w:t>https：//mp.weixin.qq.com/s/k-fa6loibelubvvgvy6-rg</w:t>
      </w:r>
      <w:r>
        <w:rPr>
          <w:rFonts w:hint="eastAsia" w:ascii="仿宋_GB2312" w:hAnsi="仿宋" w:eastAsia="仿宋_GB2312" w:cs="仿宋_GB2312"/>
          <w:sz w:val="32"/>
          <w:szCs w:val="32"/>
        </w:rPr>
        <w:t>）中发现“宜颜美美茶 逆龄驻颜 祛黄淡斑 散瘀调经 通经活络 缓解眼疲劳 清肝明目”宣传字眼；3、执法人员在“宜颜美美茶”包装上未发现与被通报线索相同字眼的信息；4、执法人员现场截图、拍照取证，交由当事人总经理确认。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经查明，在当事人原料室发现的一品名为北沙参的原料，北沙参的外包装上标示：品名为北沙参，产地：河北保定，执行标准：《中国药典》2020年版一部，在当事人原料室发现的一品名为山麦冬的原料，山麦冬的外包装上标示：品名为山麦冬，产地：湖北嘉鱼，执行标准：《中国药典》2015年版一部。北沙参、山麦冬列入2020版的药典，泉州七宴食品有限公司在食品生产经营过程中，在生产的七宴护金茶中加入北沙参、山麦冬，当事人在食品生产经营过程中涉嫌在食品中添加药品。当事人生产的七宴护金茶外包装上标示成份有麦冬、沙参，麦冬与山麦冬为不同物品，沙参与北沙参为不同物品，当事人涉嫌生产经营的食品说明书标示虚假成分。</w:t>
      </w:r>
    </w:p>
    <w:p>
      <w:pPr>
        <w:spacing w:line="420" w:lineRule="exact"/>
        <w:ind w:right="-143" w:rightChars="-68" w:firstLine="640" w:firstLineChars="200"/>
        <w:rPr>
          <w:rFonts w:ascii="宋体" w:hAnsi="宋体" w:cs="宋体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当事人员工在微信公众号上发布带有“宜颜美美茶 逆龄驻颜 祛黄淡斑 散瘀调经 通经活络 缓解眼疲劳 清肝明目”的宣传字眼，当事人没有证据证明其产品具有所宣传的效果。当事人员工制作上述虚假广告用时一天，每个月工资3500元，每月休4天，每月按26日计，每天工资为134.62元，制作虚假广告费用为134.62元。</w:t>
      </w:r>
    </w:p>
    <w:p>
      <w:pPr>
        <w:spacing w:line="420" w:lineRule="exact"/>
        <w:ind w:right="-143" w:rightChars="-68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当事人生产了七宴护金茶190盒，网店以128元/每盒售出10盒，以78元/盒售出1盒（退货退款），线下以22元/盒售出2盒，2盒用于试喝，均价为每盒107.85元。本案违法所得为1324元，货值金额为20491.5元。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上述事实，主要有以下证据证明：《泉州市信访局人民群众信访登记表》（泉信电邮[2021]2830号）、《泉州市市场监督管理局网络交易监测违法线索登记表》（案源登记编号2021120603）、当事人的营业执照、经营者身份证复印件，询问笔录、投配料记录、产品出入库记录、网上销售记录、微信交易记录、广告制作费用（工资单）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2023年3月21日，本局向当事人送达了晋市监罚告〔</w:t>
      </w:r>
      <w:r>
        <w:rPr>
          <w:rFonts w:ascii="仿宋_GB2312" w:hAnsi="仿宋" w:eastAsia="仿宋_GB2312"/>
          <w:color w:val="000000"/>
          <w:sz w:val="32"/>
          <w:szCs w:val="32"/>
        </w:rPr>
        <w:t>20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23〕</w:t>
      </w:r>
      <w:r>
        <w:rPr>
          <w:rFonts w:ascii="仿宋_GB2312" w:hAnsi="仿宋" w:eastAsia="仿宋_GB2312"/>
          <w:color w:val="000000"/>
          <w:sz w:val="32"/>
          <w:szCs w:val="32"/>
        </w:rPr>
        <w:t>17-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17号《行政处罚告知书》，当事人在法定期限内未提出陈述和申辩意见（也未提出举行听证的要求）。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当事人在食品生产的过程中添加药品的行为，违反了《中华人民共和国食品安全法》第三十八条；当事人在食品说明书中标示虚假成分的行为，违反了《中华人民共和国食品安全法》第六十七条第一款第二项，鉴于当事人上述两个违法行为存在牵连关系，适用吸收原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，择一从重处罚，故应按当事人在食品生产的过程中添加药品的行为予以认定；当事人发布虚假广告的行为，违反了《中华人民共和国广告法》第四条、第二十八第第二款第二项的规定。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鉴于当事人发布虚假广告的行为，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积极配合市场监督管理部门调查，如实陈述违法事实并主动提供证据材料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；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违法行为轻微，社会危害性较小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。参照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《福建省市场监督管理局关于行政处罚裁量权的适用规则》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第十一条第一、二项的规定，依法从轻处罚。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鉴于当事人在食品生产的过程中添加药品的行为，产品货值金额2万以上，符合《中华人民共和国食品安全法实施条例》第六十七条第一款第一项认定的情节严重。根据《中华人民共和国食品安全法实施条例》第六十七条第二款规定及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《福建省市场监督管理系统适用&lt;食品安全法&gt;行政处罚裁量基准》SP-2规定，依法从重从严处罚。因为当事人于2022年10月13日已将《食品生产许可证》予以注销，所以不再对当事人予以吊销许可证。</w:t>
      </w:r>
    </w:p>
    <w:p>
      <w:pPr>
        <w:spacing w:line="420" w:lineRule="exact"/>
        <w:ind w:right="-143" w:rightChars="-68" w:firstLine="640" w:firstLineChars="200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当事人未</w:t>
      </w:r>
      <w:r>
        <w:rPr>
          <w:rFonts w:hint="eastAsia" w:ascii="仿宋_GB2312" w:hAnsi="仿宋" w:eastAsia="仿宋_GB2312" w:cs="仿宋_GB2312"/>
          <w:sz w:val="32"/>
          <w:szCs w:val="32"/>
        </w:rPr>
        <w:t>履行查验供货者的许可证和产品合格证明的行为属于初次违法。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根据《中华人民共和国食品安全法》第一百二十三条第一款第六项、第一百二十六条第一款第三项、《中华人民共和国广告法》第五十五条第一款及《行政处罚法》第二十八条第一款的规定，责令当事人改正违法行为，并处罚如下：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一、对当事人未履行查验供货者的许可证和产品合格证明的行为：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给予警告；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二、当事人生产经营添加药品的食品行为：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1、没收违法生产的七宴护金茶176盒，七宴护金茶外包装盒（精装）2608个，七宴护金茶外包装袋21600个，七宴护金茶内包膜101.6KG；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2、没收山麦冬8.5045 KG、北沙参7.8875 KG；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3、没收违法所得1324元；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4、处以罚款553270.5元（货值金额27倍）；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三、对当事人发布虚假广告的行为：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1、责令停止发布上述广告，在相应范围内消除影响；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2、处以罚款417.32元。</w:t>
      </w:r>
    </w:p>
    <w:p>
      <w:pPr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sz w:val="32"/>
          <w:szCs w:val="32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以上罚没款共计555011.82元。</w:t>
      </w:r>
    </w:p>
    <w:p>
      <w:pPr>
        <w:spacing w:line="420" w:lineRule="exact"/>
        <w:ind w:right="-143" w:rightChars="-68" w:firstLine="640" w:firstLineChars="200"/>
      </w:pPr>
      <w:r>
        <w:rPr>
          <w:rFonts w:hint="eastAsia" w:ascii="仿宋_GB2312" w:hAnsi="仿宋" w:eastAsia="仿宋_GB2312" w:cs="仿宋_GB2312"/>
          <w:sz w:val="32"/>
          <w:szCs w:val="32"/>
        </w:rPr>
        <w:t>以上款项合计555011.82元，当事人应当在接到本行政处罚决定书之日起十五日内，凭福建省政府非税收入缴款通知书（缴款码）通过银行网点或者电子支付系统缴款，当事人逾期不履行行政处罚决定的，本局将依据《中华人民共和国行政处罚法》第七十二条第一款的规定，采取下列措施：（一）到期不缴纳罚款的，每日按罚款数额的百分之三加处罚款，加处罚款的数额不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>
      <w:pPr>
        <w:autoSpaceDE w:val="0"/>
        <w:autoSpaceDN w:val="0"/>
        <w:spacing w:line="420" w:lineRule="exact"/>
        <w:ind w:right="-143" w:rightChars="-68" w:firstLine="640" w:firstLineChars="200"/>
        <w:jc w:val="left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如不服本处罚决定，可在接到本处罚决定书之日起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60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日内向晋江市人民政府申请行政复议，也可以在6个月内依法向人民法院提起行政诉讼。</w:t>
      </w:r>
    </w:p>
    <w:p>
      <w:pPr>
        <w:spacing w:line="420" w:lineRule="exact"/>
        <w:ind w:right="-483" w:rightChars="-230"/>
        <w:rPr>
          <w:rFonts w:ascii="仿宋_GB2312" w:hAnsi="仿宋" w:eastAsia="仿宋_GB2312" w:cs="仿宋_GB2312"/>
          <w:color w:val="000000"/>
          <w:sz w:val="32"/>
          <w:szCs w:val="32"/>
        </w:rPr>
      </w:pPr>
    </w:p>
    <w:p>
      <w:pPr>
        <w:spacing w:line="420" w:lineRule="exact"/>
        <w:ind w:left="-426" w:leftChars="-203" w:firstLine="5552" w:firstLineChars="173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晋江市市场监督管理局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</w:t>
      </w:r>
    </w:p>
    <w:p>
      <w:pPr>
        <w:spacing w:line="420" w:lineRule="exact"/>
        <w:ind w:left="-424" w:leftChars="-203" w:right="640" w:hanging="2"/>
        <w:jc w:val="center"/>
        <w:rPr>
          <w:rFonts w:ascii="仿宋_GB2312" w:hAnsi="仿宋" w:eastAsia="仿宋_GB2312" w:cs="仿宋_GB2312"/>
          <w:color w:val="00000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    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 xml:space="preserve">       2023年3月29日</w:t>
      </w:r>
    </w:p>
    <w:p>
      <w:pPr>
        <w:snapToGrid w:val="0"/>
        <w:spacing w:line="520" w:lineRule="exact"/>
        <w:ind w:left="-141" w:leftChars="-67"/>
        <w:rPr>
          <w:rFonts w:ascii="仿宋_GB2312" w:hAnsi="黑体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黑体" w:eastAsia="仿宋_GB2312" w:cs="仿宋_GB2312"/>
          <w:color w:val="000000"/>
          <w:sz w:val="32"/>
          <w:szCs w:val="32"/>
        </w:rPr>
        <w:t>（</w:t>
      </w: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市场监督管理部门将依法向社会公示本行政处罚决定信息</w:t>
      </w:r>
      <w:r>
        <w:rPr>
          <w:rFonts w:hint="eastAsia" w:ascii="仿宋_GB2312" w:hAnsi="黑体" w:eastAsia="仿宋_GB2312" w:cs="仿宋_GB2312"/>
          <w:color w:val="000000"/>
          <w:sz w:val="32"/>
          <w:szCs w:val="32"/>
        </w:rPr>
        <w:t>）</w:t>
      </w:r>
    </w:p>
    <w:p>
      <w:pPr>
        <w:spacing w:line="52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Calibri" w:hAnsi="Calibri" w:eastAsia="宋体" w:cs="Calibri"/>
          <w:kern w:val="2"/>
          <w:sz w:val="21"/>
          <w:szCs w:val="21"/>
          <w:lang w:val="en-US" w:eastAsia="zh-CN" w:bidi="ar-SA"/>
        </w:rPr>
        <w:pict>
          <v:line id="_x0000_s2052" o:spid="_x0000_s1027" style="position:absolute;left:0;margin-left:-8.95pt;margin-top:13.55pt;height:0.05pt;width:437pt;rotation:0f;z-index:251660288;" o:ole="f" fillcolor="#FFFFFF" filled="f" o:preferrelative="t" stroked="t" coordsize="21600,21600">
            <v:fill on="f" color2="#FFFFFF" focus="0%"/>
            <v:stroke weight="1.25pt"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</w:p>
    <w:p>
      <w:pPr>
        <w:spacing w:line="52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ascii="Calibri" w:hAnsi="Calibri" w:eastAsia="宋体" w:cs="Calibri"/>
          <w:kern w:val="2"/>
          <w:sz w:val="21"/>
          <w:szCs w:val="21"/>
          <w:lang w:val="en-US" w:eastAsia="zh-CN" w:bidi="ar-SA"/>
        </w:rPr>
        <w:pict>
          <v:line id="_x0000_s2051" o:spid="_x0000_s1026" style="position:absolute;left:0;margin-left:0pt;margin-top:1638.35pt;height:0.1pt;width:453.75pt;rotation:0f;z-index:251659264;" o:ole="f" fillcolor="#FFFFFF" filled="f" o:preferrelative="t" stroked="t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line>
        </w:pic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本文书一式两份，一份送达，一份归档。</w:t>
      </w:r>
    </w:p>
    <w:sectPr>
      <w:headerReference r:id="rId4" w:type="default"/>
      <w:footerReference r:id="rId5" w:type="default"/>
      <w:pgSz w:w="11906" w:h="16838"/>
      <w:pgMar w:top="1701" w:right="1418" w:bottom="1418" w:left="1418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">
    <w:panose1 w:val="02040503050406030204"/>
    <w:charset w:val="00"/>
    <w:family w:val="auto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Cambria Math">
    <w:panose1 w:val="02040503050406030204"/>
    <w:charset w:val="01"/>
    <w:family w:val="auto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大标宋简体">
    <w:altName w:val="宋体-方正超大字符集"/>
    <w:panose1 w:val="03000509000000000000"/>
    <w:charset w:val="86"/>
    <w:family w:val="script"/>
    <w:pitch w:val="default"/>
    <w:sig w:usb0="00000001" w:usb1="080E0000" w:usb2="00000010" w:usb3="00000000" w:csb0="00040000" w:csb1="00000000"/>
  </w:font>
  <w:font w:name="方正">
    <w:altName w:val="Arial Unicode MS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΢   ź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兰亭黑_YS_GB18030">
    <w:altName w:val="黑体"/>
    <w:panose1 w:val="03000502000000000000"/>
    <w:charset w:val="86"/>
    <w:family w:val="script"/>
    <w:pitch w:val="default"/>
    <w:sig w:usb0="00000001" w:usb1="080E0000" w:usb2="00000010" w:usb3="00000000" w:csb0="00040000" w:csb1="00000000"/>
  </w:font>
  <w:font w:name="΢���ź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??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jc w:val="center"/>
      <w:rPr>
        <w:rFonts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t xml:space="preserve">第 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13"/>
        <w:rFonts w:hint="eastAsia" w:ascii="仿宋_GB2312" w:eastAsia="仿宋_GB2312"/>
        <w:sz w:val="28"/>
        <w:szCs w:val="28"/>
      </w:rPr>
      <w:instrText xml:space="preserve"> PAGE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13"/>
        <w:rFonts w:ascii="仿宋_GB2312" w:eastAsia="仿宋_GB2312"/>
        <w:sz w:val="28"/>
        <w:szCs w:val="28"/>
      </w:rPr>
      <w:t>1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 xml:space="preserve">  页共 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13"/>
        <w:rFonts w:hint="eastAsia" w:ascii="仿宋_GB2312" w:eastAsia="仿宋_GB2312"/>
        <w:sz w:val="28"/>
        <w:szCs w:val="28"/>
      </w:rPr>
      <w:instrText xml:space="preserve"> NUMPAGES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13"/>
        <w:rFonts w:ascii="仿宋_GB2312" w:eastAsia="仿宋_GB2312"/>
        <w:sz w:val="28"/>
        <w:szCs w:val="28"/>
      </w:rPr>
      <w:t>4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hint="eastAsia" w:ascii="仿宋_GB2312" w:eastAsia="仿宋_GB2312"/>
        <w:sz w:val="28"/>
        <w:szCs w:val="28"/>
      </w:rPr>
      <w:t xml:space="preserve">  页</w:t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</w:style>
  <w:style w:type="character" w:customStyle="1" w:styleId="2">
    <w:name w:val="日期 Char"/>
    <w:basedOn w:val="3"/>
    <w:link w:val="4"/>
    <w:semiHidden/>
    <w:rPr>
      <w:rFonts w:ascii="Calibri" w:hAnsi="Calibri" w:eastAsia="宋体" w:cs="Calibri"/>
      <w:szCs w:val="21"/>
    </w:rPr>
  </w:style>
  <w:style w:type="paragraph" w:customStyle="1" w:styleId="4">
    <w:name w:val="Date"/>
    <w:basedOn w:val="1"/>
    <w:next w:val="1"/>
    <w:link w:val="2"/>
    <w:pPr>
      <w:ind w:left="100" w:leftChars="2500"/>
    </w:pPr>
    <w:rPr>
      <w:rFonts w:ascii="Calibri" w:hAnsi="Calibri" w:eastAsia="宋体" w:cs="Calibri"/>
      <w:szCs w:val="21"/>
    </w:rPr>
  </w:style>
  <w:style w:type="paragraph" w:styleId="5">
    <w:name w:val="footer"/>
    <w:basedOn w:val="1"/>
    <w:link w:val="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6">
    <w:name w:val="页脚 Char"/>
    <w:basedOn w:val="3"/>
    <w:link w:val="5"/>
    <w:semiHidden/>
    <w:rPr>
      <w:sz w:val="18"/>
      <w:szCs w:val="18"/>
    </w:rPr>
  </w:style>
  <w:style w:type="paragraph" w:styleId="7">
    <w:name w:val="header"/>
    <w:basedOn w:val="1"/>
    <w:link w:val="8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3"/>
    <w:link w:val="7"/>
    <w:semiHidden/>
    <w:rPr>
      <w:sz w:val="18"/>
      <w:szCs w:val="18"/>
    </w:rPr>
  </w:style>
  <w:style w:type="paragraph" w:customStyle="1" w:styleId="9">
    <w:name w:val="批注框文本 Char Char"/>
    <w:basedOn w:val="1"/>
    <w:link w:val="12"/>
    <w:rPr>
      <w:rFonts w:ascii="Calibri" w:hAnsi="Calibri" w:eastAsia="宋体" w:cs="Calibri"/>
      <w:sz w:val="18"/>
      <w:szCs w:val="18"/>
    </w:rPr>
  </w:style>
  <w:style w:type="paragraph" w:customStyle="1" w:styleId="10">
    <w:name w:val="Char Char Char Char"/>
    <w:basedOn w:val="1"/>
    <w:pPr>
      <w:widowControl/>
      <w:spacing w:after="160" w:line="240" w:lineRule="exact"/>
      <w:jc w:val="left"/>
    </w:pPr>
  </w:style>
  <w:style w:type="paragraph" w:customStyle="1" w:styleId="11">
    <w:name w:val="List Paragraph"/>
    <w:basedOn w:val="1"/>
    <w:pPr>
      <w:ind w:firstLine="420" w:firstLineChars="200"/>
    </w:pPr>
  </w:style>
  <w:style w:type="character" w:customStyle="1" w:styleId="12">
    <w:name w:val="批注框文本 Char Char Char Char"/>
    <w:basedOn w:val="3"/>
    <w:link w:val="9"/>
    <w:semiHidden/>
    <w:rPr>
      <w:rFonts w:ascii="Calibri" w:hAnsi="Calibri" w:eastAsia="宋体" w:cs="Calibri"/>
      <w:sz w:val="18"/>
      <w:szCs w:val="18"/>
    </w:rPr>
  </w:style>
  <w:style w:type="character" w:customStyle="1" w:styleId="13">
    <w:name w:val="page number"/>
    <w:basedOn w:val="3"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deepin</Company>
  <Pages>4</Pages>
  <Words>514</Words>
  <Characters>2936</Characters>
  <Lines>24</Lines>
  <Paragraphs>6</Paragraphs>
  <ScaleCrop>false</ScaleCrop>
  <LinksUpToDate>false</LinksUpToDate>
  <CharactersWithSpaces>0</CharactersWithSpaces>
  <Application>WPS Office 个人版_9.1.0.4180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2019-05-25T00:39:00Z</dcterms:created>
  <dc:creator>施跃峰</dc:creator>
  <cp:lastPrinted>2023-03-22T08:02:00Z</cp:lastPrinted>
  <dcterms:modified xsi:type="dcterms:W3CDTF">2023-03-30T10:29:47Z</dcterms:modified>
  <dc:title>施跃峰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